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3107BA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3107BA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3107BA">
        <w:rPr>
          <w:rFonts w:ascii="Leelawadee" w:hAnsi="Leelawadee" w:cs="Leelawadee"/>
          <w:sz w:val="24"/>
          <w:szCs w:val="24"/>
        </w:rPr>
        <w:t xml:space="preserve"> on Tuesday 17</w:t>
      </w:r>
      <w:r w:rsidR="003107BA" w:rsidRPr="003107BA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D154B4">
        <w:rPr>
          <w:rFonts w:ascii="Leelawadee" w:hAnsi="Leelawadee" w:cs="Leelawadee"/>
          <w:sz w:val="24"/>
          <w:szCs w:val="24"/>
        </w:rPr>
        <w:t xml:space="preserve"> September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2759C8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0A59E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Borough 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>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5B3E8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5B3E8C">
              <w:rPr>
                <w:rFonts w:ascii="Leelawadee" w:hAnsi="Leelawadee" w:cs="Leelawadee"/>
                <w:sz w:val="24"/>
                <w:szCs w:val="24"/>
              </w:rPr>
              <w:t>f the AGM and the Co</w:t>
            </w:r>
            <w:r w:rsidR="003107BA">
              <w:rPr>
                <w:rFonts w:ascii="Leelawadee" w:hAnsi="Leelawadee" w:cs="Leelawadee"/>
                <w:sz w:val="24"/>
                <w:szCs w:val="24"/>
              </w:rPr>
              <w:t>uncil Meeting held on Tuesday 16</w:t>
            </w:r>
            <w:r w:rsidR="003107BA" w:rsidRPr="003107BA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3107BA">
              <w:rPr>
                <w:rFonts w:ascii="Leelawadee" w:hAnsi="Leelawadee" w:cs="Leelawadee"/>
                <w:sz w:val="24"/>
                <w:szCs w:val="24"/>
              </w:rPr>
              <w:t xml:space="preserve"> July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061683" w:rsidRDefault="00061683" w:rsidP="00A47B2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Casual Vacancy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to discuss applicants for the vacant position of Parish Councillor.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4C537D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report from the 5</w:t>
            </w:r>
            <w:r w:rsidRPr="00151B65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September meeting and to discuss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Council’s response.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A47B2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061683">
              <w:rPr>
                <w:rFonts w:ascii="Leelawadee" w:hAnsi="Leelawadee" w:cs="Leelawadee"/>
                <w:sz w:val="24"/>
                <w:szCs w:val="24"/>
              </w:rPr>
              <w:t>– update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D31F1" w:rsidTr="007C3440">
        <w:tc>
          <w:tcPr>
            <w:tcW w:w="1384" w:type="dxa"/>
          </w:tcPr>
          <w:p w:rsidR="007D31F1" w:rsidRDefault="007D31F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D31F1" w:rsidRPr="007D31F1" w:rsidRDefault="007D31F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10.</w:t>
            </w:r>
          </w:p>
        </w:tc>
        <w:tc>
          <w:tcPr>
            <w:tcW w:w="7858" w:type="dxa"/>
          </w:tcPr>
          <w:p w:rsidR="007D31F1" w:rsidRDefault="007D31F1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D31F1" w:rsidRPr="009070DD" w:rsidRDefault="00311EC4" w:rsidP="005A1B07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Flooding</w:t>
            </w:r>
            <w:r w:rsidR="00802E03">
              <w:rPr>
                <w:rFonts w:ascii="Leelawadee" w:hAnsi="Leelawadee" w:cs="Leelawadee"/>
                <w:b/>
                <w:sz w:val="24"/>
                <w:szCs w:val="24"/>
              </w:rPr>
              <w:t xml:space="preserve"> in Back Lane</w:t>
            </w:r>
            <w:r w:rsidR="00484BBD">
              <w:rPr>
                <w:rFonts w:ascii="Leelawadee" w:hAnsi="Leelawadee" w:cs="Leelawadee"/>
                <w:b/>
                <w:sz w:val="24"/>
                <w:szCs w:val="24"/>
              </w:rPr>
              <w:t>/blocked drain in Main Street</w:t>
            </w:r>
            <w:r w:rsidR="009070DD">
              <w:rPr>
                <w:rFonts w:ascii="Leelawadee" w:hAnsi="Leelawadee" w:cs="Leelawadee"/>
                <w:sz w:val="24"/>
                <w:szCs w:val="24"/>
              </w:rPr>
              <w:t xml:space="preserve"> – to discuss the</w:t>
            </w:r>
            <w:r w:rsidR="005A1B07">
              <w:rPr>
                <w:rFonts w:ascii="Leelawadee" w:hAnsi="Leelawadee" w:cs="Leelawadee"/>
                <w:sz w:val="24"/>
                <w:szCs w:val="24"/>
              </w:rPr>
              <w:t xml:space="preserve"> 27</w:t>
            </w:r>
            <w:r w:rsidR="005A1B07" w:rsidRPr="005A1B07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5A1B07">
              <w:rPr>
                <w:rFonts w:ascii="Leelawadee" w:hAnsi="Leelawadee" w:cs="Leelawadee"/>
                <w:sz w:val="24"/>
                <w:szCs w:val="24"/>
              </w:rPr>
              <w:t xml:space="preserve"> July incident</w:t>
            </w:r>
            <w:r w:rsidR="00484BBD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9070DD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D31F1" w:rsidTr="007C3440">
        <w:tc>
          <w:tcPr>
            <w:tcW w:w="1384" w:type="dxa"/>
          </w:tcPr>
          <w:p w:rsidR="007D31F1" w:rsidRDefault="007D31F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D31F1" w:rsidRPr="007D31F1" w:rsidRDefault="00266F0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D31F1"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7858" w:type="dxa"/>
          </w:tcPr>
          <w:p w:rsidR="007D31F1" w:rsidRDefault="007D31F1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C537D" w:rsidRDefault="004C537D" w:rsidP="004C53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4593C">
              <w:rPr>
                <w:rFonts w:ascii="Leelawadee" w:hAnsi="Leelawadee" w:cs="Leelawadee"/>
                <w:b/>
                <w:sz w:val="24"/>
                <w:szCs w:val="24"/>
              </w:rPr>
              <w:t>The War Memorial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update.</w:t>
            </w:r>
          </w:p>
          <w:p w:rsidR="007D31F1" w:rsidRPr="009070DD" w:rsidRDefault="007D31F1" w:rsidP="00F131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66F0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12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D4593C" w:rsidRDefault="00D4593C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4593C">
              <w:rPr>
                <w:rFonts w:ascii="Leelawadee" w:hAnsi="Leelawadee" w:cs="Leelawadee"/>
                <w:b/>
                <w:sz w:val="24"/>
                <w:szCs w:val="24"/>
              </w:rPr>
              <w:t>PCC/Allotment rent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A2CF4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FA6B0D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C05858" w:rsidRDefault="00A067C5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>d expenses – June</w:t>
            </w:r>
          </w:p>
          <w:p w:rsidR="00FA6B0D" w:rsidRDefault="00877E51" w:rsidP="00E87D0A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</w:p>
          <w:p w:rsidR="009070DD" w:rsidRDefault="009070DD" w:rsidP="00E87D0A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Morrall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Play Services – recreation field inspection</w:t>
            </w:r>
          </w:p>
          <w:p w:rsidR="00FD157E" w:rsidRPr="00E87D0A" w:rsidRDefault="00FD157E" w:rsidP="00E87D0A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Recreation Field wood chippings</w:t>
            </w:r>
          </w:p>
          <w:p w:rsidR="0086511E" w:rsidRDefault="003B2C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7D31F1" w:rsidRPr="00FA7C70" w:rsidRDefault="007D31F1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13.3    Clerk’s 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remuneration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768B2" w:rsidRPr="00E87D0A" w:rsidRDefault="00E87D0A" w:rsidP="00E87D0A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R13/</w:t>
            </w:r>
            <w:r w:rsidR="00484BBD">
              <w:rPr>
                <w:rFonts w:ascii="Leelawadee" w:hAnsi="Leelawadee" w:cs="Leelawadee"/>
                <w:b/>
                <w:sz w:val="24"/>
                <w:szCs w:val="24"/>
              </w:rPr>
              <w:t xml:space="preserve">1537 </w:t>
            </w:r>
            <w:r w:rsidR="00484BBD" w:rsidRPr="00484BBD">
              <w:rPr>
                <w:rFonts w:ascii="Leelawadee" w:hAnsi="Leelawadee" w:cs="Leelawadee"/>
                <w:sz w:val="24"/>
                <w:szCs w:val="24"/>
              </w:rPr>
              <w:t>– Davenport Cottage, Back Lane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BA7AED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A7AED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Default="005A2CF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BA7AED" w:rsidRDefault="00BA7AED" w:rsidP="00BA7AED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Gateways</w:t>
            </w:r>
            <w:r w:rsidR="009070DD">
              <w:rPr>
                <w:rFonts w:ascii="Leelawadee" w:hAnsi="Leelawadee" w:cs="Leelawadee"/>
                <w:sz w:val="24"/>
                <w:szCs w:val="24"/>
              </w:rPr>
              <w:t xml:space="preserve"> – response from Graham Stanley.</w:t>
            </w:r>
          </w:p>
          <w:p w:rsidR="00BA7AED" w:rsidRPr="00BA7AED" w:rsidRDefault="00BA7AED" w:rsidP="00BA7AED">
            <w:pPr>
              <w:pStyle w:val="ListParagraph"/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66F0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20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F104C" w:rsidRDefault="007F702F" w:rsidP="00B27A3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E87D0A">
              <w:rPr>
                <w:rFonts w:ascii="Leelawadee" w:hAnsi="Leelawadee" w:cs="Leelawadee"/>
                <w:sz w:val="24"/>
                <w:szCs w:val="24"/>
              </w:rPr>
              <w:t>15</w:t>
            </w:r>
            <w:r w:rsidR="00E87D0A" w:rsidRPr="00E87D0A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E87D0A">
              <w:rPr>
                <w:rFonts w:ascii="Leelawadee" w:hAnsi="Leelawadee" w:cs="Leelawadee"/>
                <w:sz w:val="24"/>
                <w:szCs w:val="24"/>
              </w:rPr>
              <w:t xml:space="preserve"> October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66F0D" w:rsidRDefault="00266F0D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4C537D" w:rsidRDefault="00311EC4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10</w:t>
      </w:r>
      <w:r w:rsidRPr="00311EC4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September 2013</w:t>
      </w:r>
      <w:r w:rsidR="00C05920">
        <w:rPr>
          <w:rFonts w:ascii="Leelawadee" w:hAnsi="Leelawadee" w:cs="Leelawadee"/>
          <w:sz w:val="24"/>
          <w:szCs w:val="24"/>
        </w:rPr>
        <w:t xml:space="preserve">      </w:t>
      </w:r>
    </w:p>
    <w:p w:rsidR="00E046C8" w:rsidRPr="007C1B71" w:rsidRDefault="00C05920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</w:t>
      </w:r>
    </w:p>
    <w:sectPr w:rsidR="00E046C8" w:rsidRPr="007C1B71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3B" w:rsidRDefault="00F63A3B" w:rsidP="002B1CDF">
      <w:pPr>
        <w:spacing w:after="0" w:line="240" w:lineRule="auto"/>
      </w:pPr>
      <w:r>
        <w:separator/>
      </w:r>
    </w:p>
  </w:endnote>
  <w:endnote w:type="continuationSeparator" w:id="0">
    <w:p w:rsidR="00F63A3B" w:rsidRDefault="00F63A3B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AB0754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F44ABF">
          <w:rPr>
            <w:noProof/>
          </w:rPr>
          <w:t>1</w:t>
        </w:r>
        <w:r>
          <w:fldChar w:fldCharType="end"/>
        </w:r>
      </w:p>
    </w:sdtContent>
  </w:sdt>
  <w:p w:rsidR="00EC67B4" w:rsidRDefault="003107BA">
    <w:pPr>
      <w:pStyle w:val="Footer"/>
    </w:pPr>
    <w:r>
      <w:t>130917</w:t>
    </w:r>
    <w:r w:rsidR="00F44ABF">
      <w:t>.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3B" w:rsidRDefault="00F63A3B" w:rsidP="002B1CDF">
      <w:pPr>
        <w:spacing w:after="0" w:line="240" w:lineRule="auto"/>
      </w:pPr>
      <w:r>
        <w:separator/>
      </w:r>
    </w:p>
  </w:footnote>
  <w:footnote w:type="continuationSeparator" w:id="0">
    <w:p w:rsidR="00F63A3B" w:rsidRDefault="00F63A3B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40C"/>
    <w:multiLevelType w:val="hybridMultilevel"/>
    <w:tmpl w:val="86E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218FA"/>
    <w:rsid w:val="00034984"/>
    <w:rsid w:val="0004032B"/>
    <w:rsid w:val="00061683"/>
    <w:rsid w:val="0008659C"/>
    <w:rsid w:val="000867F9"/>
    <w:rsid w:val="000916BC"/>
    <w:rsid w:val="000A0767"/>
    <w:rsid w:val="000A21F0"/>
    <w:rsid w:val="000A59E1"/>
    <w:rsid w:val="000B6E39"/>
    <w:rsid w:val="00100741"/>
    <w:rsid w:val="00105DE4"/>
    <w:rsid w:val="001373A4"/>
    <w:rsid w:val="00145842"/>
    <w:rsid w:val="00151B65"/>
    <w:rsid w:val="001856E6"/>
    <w:rsid w:val="0019074D"/>
    <w:rsid w:val="001A283E"/>
    <w:rsid w:val="00217671"/>
    <w:rsid w:val="00224B54"/>
    <w:rsid w:val="00244D1A"/>
    <w:rsid w:val="00266F0D"/>
    <w:rsid w:val="002759C8"/>
    <w:rsid w:val="00282583"/>
    <w:rsid w:val="002B1CDF"/>
    <w:rsid w:val="002E0033"/>
    <w:rsid w:val="002F36B2"/>
    <w:rsid w:val="003107BA"/>
    <w:rsid w:val="00311EC4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84BBD"/>
    <w:rsid w:val="004966C3"/>
    <w:rsid w:val="004C537D"/>
    <w:rsid w:val="004D1300"/>
    <w:rsid w:val="004E3C8B"/>
    <w:rsid w:val="004F4639"/>
    <w:rsid w:val="0052084D"/>
    <w:rsid w:val="00554FE3"/>
    <w:rsid w:val="005608BE"/>
    <w:rsid w:val="00577074"/>
    <w:rsid w:val="00585AF2"/>
    <w:rsid w:val="00597B62"/>
    <w:rsid w:val="005A0361"/>
    <w:rsid w:val="005A1B07"/>
    <w:rsid w:val="005A2CF4"/>
    <w:rsid w:val="005B2B37"/>
    <w:rsid w:val="005B3E8C"/>
    <w:rsid w:val="005C7EC8"/>
    <w:rsid w:val="005D04C1"/>
    <w:rsid w:val="005D07DB"/>
    <w:rsid w:val="005E1732"/>
    <w:rsid w:val="005E5843"/>
    <w:rsid w:val="00604A96"/>
    <w:rsid w:val="006074C6"/>
    <w:rsid w:val="0061341E"/>
    <w:rsid w:val="0067455A"/>
    <w:rsid w:val="00684A63"/>
    <w:rsid w:val="00697E5C"/>
    <w:rsid w:val="006A33B2"/>
    <w:rsid w:val="006B5170"/>
    <w:rsid w:val="006B536C"/>
    <w:rsid w:val="006B77AB"/>
    <w:rsid w:val="006D40C6"/>
    <w:rsid w:val="00711D07"/>
    <w:rsid w:val="00724E99"/>
    <w:rsid w:val="0073422D"/>
    <w:rsid w:val="00740BE5"/>
    <w:rsid w:val="007B7A85"/>
    <w:rsid w:val="007C072A"/>
    <w:rsid w:val="007C1B71"/>
    <w:rsid w:val="007C3440"/>
    <w:rsid w:val="007C70F3"/>
    <w:rsid w:val="007D31F1"/>
    <w:rsid w:val="007E2A34"/>
    <w:rsid w:val="007F702F"/>
    <w:rsid w:val="00802E03"/>
    <w:rsid w:val="00841DA4"/>
    <w:rsid w:val="008434C7"/>
    <w:rsid w:val="00856761"/>
    <w:rsid w:val="0086511E"/>
    <w:rsid w:val="00870F32"/>
    <w:rsid w:val="00877E51"/>
    <w:rsid w:val="008C0229"/>
    <w:rsid w:val="008C4273"/>
    <w:rsid w:val="008C44EB"/>
    <w:rsid w:val="008D3A30"/>
    <w:rsid w:val="008F71CE"/>
    <w:rsid w:val="00906CCD"/>
    <w:rsid w:val="009070DD"/>
    <w:rsid w:val="00907173"/>
    <w:rsid w:val="00933DEA"/>
    <w:rsid w:val="00936276"/>
    <w:rsid w:val="00936456"/>
    <w:rsid w:val="0094786C"/>
    <w:rsid w:val="00996522"/>
    <w:rsid w:val="009C2394"/>
    <w:rsid w:val="00A01E83"/>
    <w:rsid w:val="00A067C5"/>
    <w:rsid w:val="00A47B2C"/>
    <w:rsid w:val="00A56FFE"/>
    <w:rsid w:val="00A673B0"/>
    <w:rsid w:val="00A67B29"/>
    <w:rsid w:val="00A81C71"/>
    <w:rsid w:val="00A86676"/>
    <w:rsid w:val="00A92517"/>
    <w:rsid w:val="00AA48EB"/>
    <w:rsid w:val="00AB0754"/>
    <w:rsid w:val="00B1288F"/>
    <w:rsid w:val="00B222E1"/>
    <w:rsid w:val="00B27A3D"/>
    <w:rsid w:val="00B466F4"/>
    <w:rsid w:val="00B955D5"/>
    <w:rsid w:val="00BA7AED"/>
    <w:rsid w:val="00BB49EF"/>
    <w:rsid w:val="00BC5A42"/>
    <w:rsid w:val="00BE145C"/>
    <w:rsid w:val="00BE1D94"/>
    <w:rsid w:val="00C05858"/>
    <w:rsid w:val="00C05920"/>
    <w:rsid w:val="00C45C5D"/>
    <w:rsid w:val="00C45E41"/>
    <w:rsid w:val="00C51EF4"/>
    <w:rsid w:val="00C526C8"/>
    <w:rsid w:val="00C56D80"/>
    <w:rsid w:val="00C769BE"/>
    <w:rsid w:val="00C866FA"/>
    <w:rsid w:val="00CC69DC"/>
    <w:rsid w:val="00CD2B9B"/>
    <w:rsid w:val="00CD5B13"/>
    <w:rsid w:val="00CD6F97"/>
    <w:rsid w:val="00CF0D12"/>
    <w:rsid w:val="00CF725A"/>
    <w:rsid w:val="00D12560"/>
    <w:rsid w:val="00D14E9F"/>
    <w:rsid w:val="00D154B4"/>
    <w:rsid w:val="00D20A1F"/>
    <w:rsid w:val="00D21DBB"/>
    <w:rsid w:val="00D27353"/>
    <w:rsid w:val="00D35C8E"/>
    <w:rsid w:val="00D4593C"/>
    <w:rsid w:val="00D57879"/>
    <w:rsid w:val="00D64955"/>
    <w:rsid w:val="00D71D91"/>
    <w:rsid w:val="00D7646B"/>
    <w:rsid w:val="00D90D8F"/>
    <w:rsid w:val="00DA0C6D"/>
    <w:rsid w:val="00DC622C"/>
    <w:rsid w:val="00DC668C"/>
    <w:rsid w:val="00DF698E"/>
    <w:rsid w:val="00E046C8"/>
    <w:rsid w:val="00E061C1"/>
    <w:rsid w:val="00E77178"/>
    <w:rsid w:val="00E87D0A"/>
    <w:rsid w:val="00EC564D"/>
    <w:rsid w:val="00EC6335"/>
    <w:rsid w:val="00EE1A02"/>
    <w:rsid w:val="00EE4F96"/>
    <w:rsid w:val="00EE6616"/>
    <w:rsid w:val="00EF25F2"/>
    <w:rsid w:val="00F131D2"/>
    <w:rsid w:val="00F13B7D"/>
    <w:rsid w:val="00F2331F"/>
    <w:rsid w:val="00F26A78"/>
    <w:rsid w:val="00F36D9C"/>
    <w:rsid w:val="00F44ABF"/>
    <w:rsid w:val="00F63A3B"/>
    <w:rsid w:val="00F768B2"/>
    <w:rsid w:val="00FA6B0D"/>
    <w:rsid w:val="00FA7C70"/>
    <w:rsid w:val="00FB59F4"/>
    <w:rsid w:val="00FD157E"/>
    <w:rsid w:val="00FE2F6A"/>
    <w:rsid w:val="00FE5060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754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15</cp:revision>
  <cp:lastPrinted>2013-04-10T14:47:00Z</cp:lastPrinted>
  <dcterms:created xsi:type="dcterms:W3CDTF">2013-09-08T19:15:00Z</dcterms:created>
  <dcterms:modified xsi:type="dcterms:W3CDTF">2013-09-12T18:04:00Z</dcterms:modified>
</cp:coreProperties>
</file>